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5D" w:rsidRDefault="0093595D" w:rsidP="0093595D">
      <w:pPr>
        <w:pStyle w:val="Titel"/>
        <w:spacing w:line="276" w:lineRule="auto"/>
        <w:rPr>
          <w:b/>
        </w:rPr>
      </w:pPr>
      <w:bookmarkStart w:id="0" w:name="_GoBack"/>
      <w:bookmarkEnd w:id="0"/>
      <w:r>
        <w:rPr>
          <w:b/>
        </w:rPr>
        <w:t xml:space="preserve">Universitätsmedizin Rostock </w:t>
      </w:r>
    </w:p>
    <w:p w:rsidR="0093595D" w:rsidRDefault="0093595D" w:rsidP="0093595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Institut für Klinische Chemie und </w:t>
      </w:r>
      <w:proofErr w:type="spellStart"/>
      <w:r>
        <w:rPr>
          <w:b/>
          <w:sz w:val="28"/>
        </w:rPr>
        <w:t>Laboratoriumsmedizin</w:t>
      </w:r>
      <w:proofErr w:type="spellEnd"/>
    </w:p>
    <w:p w:rsidR="0093595D" w:rsidRPr="00262030" w:rsidRDefault="0093595D" w:rsidP="0093595D">
      <w:pPr>
        <w:spacing w:line="276" w:lineRule="auto"/>
        <w:jc w:val="center"/>
        <w:rPr>
          <w:b/>
          <w:sz w:val="24"/>
          <w:szCs w:val="24"/>
        </w:rPr>
      </w:pPr>
      <w:r w:rsidRPr="00262030">
        <w:rPr>
          <w:b/>
          <w:sz w:val="24"/>
          <w:szCs w:val="24"/>
        </w:rPr>
        <w:t>Leiter: Prof. Dr. med. M. Walter</w:t>
      </w:r>
    </w:p>
    <w:p w:rsidR="0093595D" w:rsidRPr="00262030" w:rsidRDefault="0093595D" w:rsidP="0093595D">
      <w:pPr>
        <w:rPr>
          <w:b/>
          <w:sz w:val="24"/>
          <w:szCs w:val="24"/>
        </w:rPr>
      </w:pPr>
    </w:p>
    <w:p w:rsidR="0093595D" w:rsidRDefault="0093595D" w:rsidP="0093595D">
      <w:pPr>
        <w:shd w:val="pct10" w:color="auto" w:fill="FFFFFF"/>
      </w:pPr>
    </w:p>
    <w:p w:rsidR="00B421ED" w:rsidRPr="00117F6B" w:rsidRDefault="0093595D" w:rsidP="00FF36C1">
      <w:pPr>
        <w:pStyle w:val="berschrift2"/>
        <w:shd w:val="pct10" w:color="auto" w:fill="FFFFFF"/>
        <w:jc w:val="center"/>
        <w:rPr>
          <w:b/>
          <w:sz w:val="32"/>
        </w:rPr>
      </w:pPr>
      <w:r w:rsidRPr="00117F6B">
        <w:rPr>
          <w:b/>
          <w:sz w:val="32"/>
        </w:rPr>
        <w:t xml:space="preserve">Laborinformation </w:t>
      </w:r>
      <w:r w:rsidR="00660E8B" w:rsidRPr="00117F6B">
        <w:rPr>
          <w:b/>
          <w:sz w:val="32"/>
        </w:rPr>
        <w:t>0</w:t>
      </w:r>
      <w:r w:rsidR="00786B18">
        <w:rPr>
          <w:b/>
          <w:sz w:val="32"/>
        </w:rPr>
        <w:t>7</w:t>
      </w:r>
      <w:r w:rsidR="00B91D5A" w:rsidRPr="00117F6B">
        <w:rPr>
          <w:b/>
          <w:sz w:val="32"/>
        </w:rPr>
        <w:t>/2025</w:t>
      </w:r>
    </w:p>
    <w:p w:rsidR="00FF36C1" w:rsidRDefault="00FF36C1" w:rsidP="00FF36C1"/>
    <w:p w:rsidR="00B91D5A" w:rsidRDefault="00B91D5A" w:rsidP="00FF36C1"/>
    <w:p w:rsidR="00B91D5A" w:rsidRPr="00117F6B" w:rsidRDefault="00B91D5A" w:rsidP="00FF36C1">
      <w:pPr>
        <w:rPr>
          <w:sz w:val="22"/>
        </w:rPr>
      </w:pPr>
    </w:p>
    <w:p w:rsidR="00B91D5A" w:rsidRDefault="00660E8B" w:rsidP="00B91D5A">
      <w:pPr>
        <w:jc w:val="center"/>
        <w:rPr>
          <w:rFonts w:ascii="Arial" w:hAnsi="Arial" w:cs="Arial"/>
          <w:b/>
          <w:sz w:val="28"/>
        </w:rPr>
      </w:pPr>
      <w:r w:rsidRPr="00117F6B">
        <w:rPr>
          <w:rFonts w:ascii="Arial" w:hAnsi="Arial" w:cs="Arial"/>
          <w:b/>
          <w:sz w:val="32"/>
        </w:rPr>
        <w:t>GBM</w:t>
      </w:r>
      <w:r w:rsidR="005B3C78" w:rsidRPr="00117F6B">
        <w:rPr>
          <w:rFonts w:ascii="Arial" w:hAnsi="Arial" w:cs="Arial"/>
          <w:b/>
          <w:sz w:val="32"/>
        </w:rPr>
        <w:t>-Antikörper</w:t>
      </w:r>
      <w:r w:rsidRPr="00117F6B">
        <w:rPr>
          <w:rFonts w:ascii="Arial" w:hAnsi="Arial" w:cs="Arial"/>
          <w:b/>
          <w:sz w:val="32"/>
        </w:rPr>
        <w:t xml:space="preserve"> Nachweis </w:t>
      </w:r>
    </w:p>
    <w:p w:rsidR="00117F6B" w:rsidRDefault="00117F6B" w:rsidP="00B91D5A">
      <w:pPr>
        <w:jc w:val="center"/>
        <w:rPr>
          <w:rFonts w:ascii="Arial" w:hAnsi="Arial" w:cs="Arial"/>
          <w:b/>
          <w:sz w:val="28"/>
        </w:rPr>
      </w:pPr>
    </w:p>
    <w:p w:rsidR="00660E8B" w:rsidRPr="00117F6B" w:rsidRDefault="00660E8B" w:rsidP="00B91D5A">
      <w:pPr>
        <w:jc w:val="center"/>
        <w:rPr>
          <w:rFonts w:ascii="Arial" w:hAnsi="Arial" w:cs="Arial"/>
          <w:sz w:val="28"/>
        </w:rPr>
      </w:pPr>
    </w:p>
    <w:p w:rsidR="003F5696" w:rsidRPr="00117F6B" w:rsidRDefault="00743509" w:rsidP="00743509">
      <w:pPr>
        <w:jc w:val="both"/>
        <w:rPr>
          <w:rFonts w:ascii="Arial" w:hAnsi="Arial" w:cs="Arial"/>
          <w:sz w:val="28"/>
        </w:rPr>
      </w:pPr>
      <w:r w:rsidRPr="00117F6B">
        <w:rPr>
          <w:rFonts w:ascii="Arial" w:hAnsi="Arial" w:cs="Arial"/>
          <w:sz w:val="28"/>
        </w:rPr>
        <w:t>Autoantikörper (</w:t>
      </w:r>
      <w:proofErr w:type="spellStart"/>
      <w:r w:rsidRPr="00117F6B">
        <w:rPr>
          <w:rFonts w:ascii="Arial" w:hAnsi="Arial" w:cs="Arial"/>
          <w:sz w:val="28"/>
        </w:rPr>
        <w:t>AAk</w:t>
      </w:r>
      <w:proofErr w:type="spellEnd"/>
      <w:r w:rsidRPr="00117F6B">
        <w:rPr>
          <w:rFonts w:ascii="Arial" w:hAnsi="Arial" w:cs="Arial"/>
          <w:sz w:val="28"/>
        </w:rPr>
        <w:t>) gegen di</w:t>
      </w:r>
      <w:r w:rsidR="00FC78AE" w:rsidRPr="00117F6B">
        <w:rPr>
          <w:rFonts w:ascii="Arial" w:hAnsi="Arial" w:cs="Arial"/>
          <w:sz w:val="28"/>
        </w:rPr>
        <w:t>e</w:t>
      </w:r>
      <w:r w:rsidRPr="00117F6B">
        <w:rPr>
          <w:rFonts w:ascii="Arial" w:hAnsi="Arial" w:cs="Arial"/>
          <w:sz w:val="28"/>
        </w:rPr>
        <w:t xml:space="preserve"> </w:t>
      </w:r>
      <w:proofErr w:type="spellStart"/>
      <w:r w:rsidRPr="00117F6B">
        <w:rPr>
          <w:rFonts w:ascii="Arial" w:hAnsi="Arial" w:cs="Arial"/>
          <w:sz w:val="28"/>
        </w:rPr>
        <w:t>glomeruläre</w:t>
      </w:r>
      <w:proofErr w:type="spellEnd"/>
      <w:r w:rsidRPr="00117F6B">
        <w:rPr>
          <w:rFonts w:ascii="Arial" w:hAnsi="Arial" w:cs="Arial"/>
          <w:sz w:val="28"/>
        </w:rPr>
        <w:t xml:space="preserve"> Basalmembran (GBM) sind bei der Anti-GBM-</w:t>
      </w:r>
      <w:r w:rsidR="00272C43" w:rsidRPr="00117F6B">
        <w:rPr>
          <w:rFonts w:ascii="Arial" w:hAnsi="Arial" w:cs="Arial"/>
          <w:sz w:val="28"/>
        </w:rPr>
        <w:t>Nephritis</w:t>
      </w:r>
      <w:r w:rsidRPr="00117F6B">
        <w:rPr>
          <w:rFonts w:ascii="Arial" w:hAnsi="Arial" w:cs="Arial"/>
          <w:sz w:val="28"/>
        </w:rPr>
        <w:t xml:space="preserve"> </w:t>
      </w:r>
      <w:r w:rsidR="00272C43" w:rsidRPr="00117F6B">
        <w:rPr>
          <w:rFonts w:ascii="Arial" w:hAnsi="Arial" w:cs="Arial"/>
          <w:sz w:val="28"/>
        </w:rPr>
        <w:t>(</w:t>
      </w:r>
      <w:proofErr w:type="spellStart"/>
      <w:r w:rsidRPr="00117F6B">
        <w:rPr>
          <w:rFonts w:ascii="Arial" w:hAnsi="Arial" w:cs="Arial"/>
          <w:sz w:val="28"/>
        </w:rPr>
        <w:t>Glomerulonephritis</w:t>
      </w:r>
      <w:proofErr w:type="spellEnd"/>
      <w:r w:rsidR="00272C43" w:rsidRPr="00117F6B">
        <w:rPr>
          <w:rFonts w:ascii="Arial" w:hAnsi="Arial" w:cs="Arial"/>
          <w:sz w:val="28"/>
        </w:rPr>
        <w:t>, renal-limitierte Form)</w:t>
      </w:r>
      <w:r w:rsidRPr="00117F6B">
        <w:rPr>
          <w:rFonts w:ascii="Arial" w:hAnsi="Arial" w:cs="Arial"/>
          <w:sz w:val="28"/>
        </w:rPr>
        <w:t xml:space="preserve"> </w:t>
      </w:r>
      <w:r w:rsidR="00272C43" w:rsidRPr="00117F6B">
        <w:rPr>
          <w:rFonts w:ascii="Arial" w:hAnsi="Arial" w:cs="Arial"/>
          <w:sz w:val="28"/>
        </w:rPr>
        <w:t xml:space="preserve">oder der Anti-GBM-Erkrankung mit </w:t>
      </w:r>
      <w:proofErr w:type="spellStart"/>
      <w:r w:rsidR="00272C43" w:rsidRPr="00117F6B">
        <w:rPr>
          <w:rFonts w:ascii="Arial" w:hAnsi="Arial" w:cs="Arial"/>
          <w:sz w:val="28"/>
        </w:rPr>
        <w:t>pulmorenaler</w:t>
      </w:r>
      <w:proofErr w:type="spellEnd"/>
      <w:r w:rsidR="00272C43" w:rsidRPr="00117F6B">
        <w:rPr>
          <w:rFonts w:ascii="Arial" w:hAnsi="Arial" w:cs="Arial"/>
          <w:sz w:val="28"/>
        </w:rPr>
        <w:t xml:space="preserve"> Manifestation </w:t>
      </w:r>
      <w:r w:rsidRPr="00117F6B">
        <w:rPr>
          <w:rFonts w:ascii="Arial" w:hAnsi="Arial" w:cs="Arial"/>
          <w:sz w:val="28"/>
        </w:rPr>
        <w:t>(</w:t>
      </w:r>
      <w:r w:rsidR="00272C43" w:rsidRPr="00117F6B">
        <w:rPr>
          <w:rFonts w:ascii="Arial" w:hAnsi="Arial" w:cs="Arial"/>
          <w:sz w:val="28"/>
        </w:rPr>
        <w:t>vorher</w:t>
      </w:r>
      <w:r w:rsidRPr="00117F6B">
        <w:rPr>
          <w:rFonts w:ascii="Arial" w:hAnsi="Arial" w:cs="Arial"/>
          <w:sz w:val="28"/>
        </w:rPr>
        <w:t xml:space="preserve"> </w:t>
      </w:r>
      <w:proofErr w:type="spellStart"/>
      <w:r w:rsidRPr="00117F6B">
        <w:rPr>
          <w:rFonts w:ascii="Arial" w:hAnsi="Arial" w:cs="Arial"/>
          <w:sz w:val="28"/>
        </w:rPr>
        <w:t>Goodpasture</w:t>
      </w:r>
      <w:proofErr w:type="spellEnd"/>
      <w:r w:rsidRPr="00117F6B">
        <w:rPr>
          <w:rFonts w:ascii="Arial" w:hAnsi="Arial" w:cs="Arial"/>
          <w:sz w:val="28"/>
        </w:rPr>
        <w:t>-Syndrom) serologisch nachweisbar.</w:t>
      </w:r>
      <w:r w:rsidR="00D22F67" w:rsidRPr="00117F6B">
        <w:rPr>
          <w:rFonts w:ascii="Arial" w:hAnsi="Arial" w:cs="Arial"/>
          <w:sz w:val="28"/>
        </w:rPr>
        <w:t xml:space="preserve"> </w:t>
      </w:r>
    </w:p>
    <w:p w:rsidR="00D22F67" w:rsidRPr="00117F6B" w:rsidRDefault="00D22F67" w:rsidP="00743509">
      <w:pPr>
        <w:jc w:val="both"/>
        <w:rPr>
          <w:rFonts w:ascii="Arial" w:hAnsi="Arial" w:cs="Arial"/>
          <w:sz w:val="28"/>
        </w:rPr>
      </w:pPr>
    </w:p>
    <w:p w:rsidR="00D22F67" w:rsidRPr="00117F6B" w:rsidRDefault="00D22F67" w:rsidP="00743509">
      <w:pPr>
        <w:jc w:val="both"/>
        <w:rPr>
          <w:rFonts w:ascii="Arial" w:hAnsi="Arial" w:cs="Arial"/>
          <w:sz w:val="28"/>
        </w:rPr>
      </w:pPr>
      <w:r w:rsidRPr="00117F6B">
        <w:rPr>
          <w:rFonts w:ascii="Arial" w:hAnsi="Arial" w:cs="Arial"/>
          <w:sz w:val="28"/>
        </w:rPr>
        <w:t>Die auftretenden Autoantikörper sind gegen die nicht-kollagene Domäne 1 der α3-Kette des Typ-IV-Kollagens gerichtet. Zielantigene sind lokalisiert in der Basalmembran der Lungenalveolen sowie in der Basalmembran der Niere. Die GBM-A</w:t>
      </w:r>
      <w:r w:rsidR="004733EC" w:rsidRPr="00117F6B">
        <w:rPr>
          <w:rFonts w:ascii="Arial" w:hAnsi="Arial" w:cs="Arial"/>
          <w:sz w:val="28"/>
        </w:rPr>
        <w:t>utoa</w:t>
      </w:r>
      <w:r w:rsidRPr="00117F6B">
        <w:rPr>
          <w:rFonts w:ascii="Arial" w:hAnsi="Arial" w:cs="Arial"/>
          <w:sz w:val="28"/>
        </w:rPr>
        <w:t xml:space="preserve">ntikörper sind pathogen und hohe Titer deuten auf eine schnell voranschreitende Nierenerkrankung hin. </w:t>
      </w:r>
    </w:p>
    <w:p w:rsidR="00D22F67" w:rsidRPr="00117F6B" w:rsidRDefault="00D22F67" w:rsidP="00743509">
      <w:pPr>
        <w:jc w:val="both"/>
        <w:rPr>
          <w:rFonts w:ascii="Arial" w:hAnsi="Arial" w:cs="Arial"/>
          <w:sz w:val="28"/>
        </w:rPr>
      </w:pPr>
    </w:p>
    <w:p w:rsidR="00E71943" w:rsidRPr="00117F6B" w:rsidRDefault="00E71943" w:rsidP="00743509">
      <w:pPr>
        <w:jc w:val="both"/>
        <w:rPr>
          <w:rFonts w:ascii="Arial" w:hAnsi="Arial" w:cs="Arial"/>
          <w:sz w:val="28"/>
        </w:rPr>
      </w:pPr>
      <w:r w:rsidRPr="00117F6B">
        <w:rPr>
          <w:rFonts w:ascii="Arial" w:hAnsi="Arial" w:cs="Arial"/>
          <w:sz w:val="28"/>
        </w:rPr>
        <w:t xml:space="preserve">Für die Abgrenzung der therapeutischen Implikation muss die Koexistenz von Anti-GBM und </w:t>
      </w:r>
      <w:proofErr w:type="spellStart"/>
      <w:r w:rsidRPr="00117F6B">
        <w:rPr>
          <w:rFonts w:ascii="Arial" w:hAnsi="Arial" w:cs="Arial"/>
          <w:sz w:val="28"/>
        </w:rPr>
        <w:t>antineutrophilen</w:t>
      </w:r>
      <w:proofErr w:type="spellEnd"/>
      <w:r w:rsidRPr="00117F6B">
        <w:rPr>
          <w:rFonts w:ascii="Arial" w:hAnsi="Arial" w:cs="Arial"/>
          <w:sz w:val="28"/>
        </w:rPr>
        <w:t xml:space="preserve"> </w:t>
      </w:r>
      <w:proofErr w:type="spellStart"/>
      <w:r w:rsidRPr="00117F6B">
        <w:rPr>
          <w:rFonts w:ascii="Arial" w:hAnsi="Arial" w:cs="Arial"/>
          <w:sz w:val="28"/>
        </w:rPr>
        <w:t>zytoplasmatischen</w:t>
      </w:r>
      <w:proofErr w:type="spellEnd"/>
      <w:r w:rsidRPr="00117F6B">
        <w:rPr>
          <w:rFonts w:ascii="Arial" w:hAnsi="Arial" w:cs="Arial"/>
          <w:sz w:val="28"/>
        </w:rPr>
        <w:t xml:space="preserve"> Antikörpern (ANCA), meist MPO-Subtyp, abgegrenzt werden (bei ca. 1/3 der Patienten nachweisbar).</w:t>
      </w:r>
    </w:p>
    <w:p w:rsidR="00D22F67" w:rsidRPr="00117F6B" w:rsidRDefault="00D22F67" w:rsidP="00743509">
      <w:pPr>
        <w:jc w:val="both"/>
        <w:rPr>
          <w:rFonts w:ascii="Arial" w:hAnsi="Arial" w:cs="Arial"/>
          <w:sz w:val="28"/>
        </w:rPr>
      </w:pPr>
    </w:p>
    <w:p w:rsidR="00E71943" w:rsidRPr="00117F6B" w:rsidRDefault="00E71943" w:rsidP="00743509">
      <w:pPr>
        <w:jc w:val="both"/>
        <w:rPr>
          <w:rFonts w:ascii="Arial" w:hAnsi="Arial" w:cs="Arial"/>
          <w:sz w:val="28"/>
        </w:rPr>
      </w:pPr>
      <w:r w:rsidRPr="00117F6B">
        <w:rPr>
          <w:rFonts w:ascii="Arial" w:hAnsi="Arial" w:cs="Arial"/>
          <w:sz w:val="28"/>
        </w:rPr>
        <w:t>Die Autoimmunerkrankung ist sehr selten (</w:t>
      </w:r>
      <w:r w:rsidR="00140EA7" w:rsidRPr="00117F6B">
        <w:rPr>
          <w:rFonts w:ascii="Arial" w:hAnsi="Arial" w:cs="Arial"/>
          <w:sz w:val="28"/>
        </w:rPr>
        <w:t xml:space="preserve">0,5 - </w:t>
      </w:r>
      <w:r w:rsidRPr="00117F6B">
        <w:rPr>
          <w:rFonts w:ascii="Arial" w:hAnsi="Arial" w:cs="Arial"/>
          <w:sz w:val="28"/>
        </w:rPr>
        <w:t>1</w:t>
      </w:r>
      <w:r w:rsidR="00140EA7" w:rsidRPr="00117F6B">
        <w:rPr>
          <w:rFonts w:ascii="Arial" w:hAnsi="Arial" w:cs="Arial"/>
          <w:sz w:val="28"/>
        </w:rPr>
        <w:t xml:space="preserve">,6 Fälle pro </w:t>
      </w:r>
      <w:r w:rsidRPr="00117F6B">
        <w:rPr>
          <w:rFonts w:ascii="Arial" w:hAnsi="Arial" w:cs="Arial"/>
          <w:sz w:val="28"/>
        </w:rPr>
        <w:t>1</w:t>
      </w:r>
      <w:r w:rsidR="00140EA7" w:rsidRPr="00117F6B">
        <w:rPr>
          <w:rFonts w:ascii="Arial" w:hAnsi="Arial" w:cs="Arial"/>
          <w:sz w:val="28"/>
        </w:rPr>
        <w:t>.</w:t>
      </w:r>
      <w:r w:rsidRPr="00117F6B">
        <w:rPr>
          <w:rFonts w:ascii="Arial" w:hAnsi="Arial" w:cs="Arial"/>
          <w:sz w:val="28"/>
        </w:rPr>
        <w:t>000</w:t>
      </w:r>
      <w:r w:rsidR="00140EA7" w:rsidRPr="00117F6B">
        <w:rPr>
          <w:rFonts w:ascii="Arial" w:hAnsi="Arial" w:cs="Arial"/>
          <w:sz w:val="28"/>
        </w:rPr>
        <w:t>.0</w:t>
      </w:r>
      <w:r w:rsidRPr="00117F6B">
        <w:rPr>
          <w:rFonts w:ascii="Arial" w:hAnsi="Arial" w:cs="Arial"/>
          <w:sz w:val="28"/>
        </w:rPr>
        <w:t>00</w:t>
      </w:r>
      <w:r w:rsidR="00140EA7" w:rsidRPr="00117F6B">
        <w:rPr>
          <w:rFonts w:ascii="Arial" w:hAnsi="Arial" w:cs="Arial"/>
          <w:sz w:val="28"/>
        </w:rPr>
        <w:t xml:space="preserve"> im Jahr</w:t>
      </w:r>
      <w:r w:rsidRPr="00117F6B">
        <w:rPr>
          <w:rFonts w:ascii="Arial" w:hAnsi="Arial" w:cs="Arial"/>
          <w:sz w:val="28"/>
        </w:rPr>
        <w:t>)</w:t>
      </w:r>
      <w:r w:rsidR="004F5C87" w:rsidRPr="00117F6B">
        <w:rPr>
          <w:rFonts w:ascii="Arial" w:hAnsi="Arial" w:cs="Arial"/>
          <w:sz w:val="28"/>
        </w:rPr>
        <w:t>, aufgrund des aggressiven Verlaufs ist jedoch eine schnelle Diagnose und Therapieeinstieg essentiell. Mehr als die Hälfte der Patienten rutschen im Laufe der Behandlung in ein dialysepflichtiges Nierenversagen.</w:t>
      </w:r>
    </w:p>
    <w:p w:rsidR="003F5696" w:rsidRPr="00117F6B" w:rsidRDefault="003F5696" w:rsidP="00B91D5A">
      <w:pPr>
        <w:jc w:val="center"/>
        <w:rPr>
          <w:rFonts w:ascii="Arial" w:hAnsi="Arial" w:cs="Arial"/>
          <w:sz w:val="28"/>
        </w:rPr>
      </w:pPr>
    </w:p>
    <w:p w:rsidR="00743509" w:rsidRPr="00117F6B" w:rsidRDefault="00D22F67" w:rsidP="00D22F67">
      <w:pPr>
        <w:jc w:val="both"/>
        <w:rPr>
          <w:rFonts w:ascii="Arial" w:hAnsi="Arial" w:cs="Arial"/>
          <w:sz w:val="28"/>
        </w:rPr>
      </w:pPr>
      <w:r w:rsidRPr="00117F6B">
        <w:rPr>
          <w:rFonts w:ascii="Arial" w:hAnsi="Arial" w:cs="Arial"/>
          <w:sz w:val="28"/>
        </w:rPr>
        <w:t>Im Labor erfolgte der GBM-</w:t>
      </w:r>
      <w:proofErr w:type="spellStart"/>
      <w:r w:rsidRPr="00117F6B">
        <w:rPr>
          <w:rFonts w:ascii="Arial" w:hAnsi="Arial" w:cs="Arial"/>
          <w:sz w:val="28"/>
        </w:rPr>
        <w:t>Ak</w:t>
      </w:r>
      <w:proofErr w:type="spellEnd"/>
      <w:r w:rsidRPr="00117F6B">
        <w:rPr>
          <w:rFonts w:ascii="Arial" w:hAnsi="Arial" w:cs="Arial"/>
          <w:sz w:val="28"/>
        </w:rPr>
        <w:t xml:space="preserve"> Nachweis bisher qualitativ im IIFT-Test</w:t>
      </w:r>
      <w:r w:rsidR="00523E86" w:rsidRPr="00117F6B">
        <w:rPr>
          <w:rFonts w:ascii="Arial" w:hAnsi="Arial" w:cs="Arial"/>
          <w:sz w:val="28"/>
        </w:rPr>
        <w:t xml:space="preserve"> (</w:t>
      </w:r>
      <w:r w:rsidR="00523E86" w:rsidRPr="00117F6B">
        <w:rPr>
          <w:rFonts w:ascii="Arial" w:hAnsi="Arial" w:cs="Arial"/>
          <w:b/>
          <w:sz w:val="28"/>
        </w:rPr>
        <w:t>i</w:t>
      </w:r>
      <w:r w:rsidR="00523E86" w:rsidRPr="00117F6B">
        <w:rPr>
          <w:rFonts w:ascii="Arial" w:hAnsi="Arial" w:cs="Arial"/>
          <w:sz w:val="28"/>
        </w:rPr>
        <w:t xml:space="preserve">ndirekte </w:t>
      </w:r>
      <w:r w:rsidR="00523E86" w:rsidRPr="00117F6B">
        <w:rPr>
          <w:rFonts w:ascii="Arial" w:hAnsi="Arial" w:cs="Arial"/>
          <w:b/>
          <w:sz w:val="28"/>
        </w:rPr>
        <w:t>I</w:t>
      </w:r>
      <w:r w:rsidR="00523E86" w:rsidRPr="00117F6B">
        <w:rPr>
          <w:rFonts w:ascii="Arial" w:hAnsi="Arial" w:cs="Arial"/>
          <w:sz w:val="28"/>
        </w:rPr>
        <w:t>mmun</w:t>
      </w:r>
      <w:r w:rsidR="00523E86" w:rsidRPr="00117F6B">
        <w:rPr>
          <w:rFonts w:ascii="Arial" w:hAnsi="Arial" w:cs="Arial"/>
          <w:b/>
          <w:sz w:val="28"/>
        </w:rPr>
        <w:t>f</w:t>
      </w:r>
      <w:r w:rsidR="00523E86" w:rsidRPr="00117F6B">
        <w:rPr>
          <w:rFonts w:ascii="Arial" w:hAnsi="Arial" w:cs="Arial"/>
          <w:sz w:val="28"/>
        </w:rPr>
        <w:t>luoreszenz</w:t>
      </w:r>
      <w:r w:rsidR="00523E86" w:rsidRPr="00117F6B">
        <w:rPr>
          <w:rFonts w:ascii="Arial" w:hAnsi="Arial" w:cs="Arial"/>
          <w:b/>
          <w:sz w:val="28"/>
        </w:rPr>
        <w:t>t</w:t>
      </w:r>
      <w:r w:rsidR="00523E86" w:rsidRPr="00117F6B">
        <w:rPr>
          <w:rFonts w:ascii="Arial" w:hAnsi="Arial" w:cs="Arial"/>
          <w:sz w:val="28"/>
        </w:rPr>
        <w:t>est)</w:t>
      </w:r>
      <w:r w:rsidRPr="00117F6B">
        <w:rPr>
          <w:rFonts w:ascii="Arial" w:hAnsi="Arial" w:cs="Arial"/>
          <w:sz w:val="28"/>
        </w:rPr>
        <w:t xml:space="preserve"> und qualitativ im ELISA</w:t>
      </w:r>
      <w:r w:rsidR="00523E86" w:rsidRPr="00117F6B">
        <w:rPr>
          <w:rFonts w:ascii="Arial" w:hAnsi="Arial" w:cs="Arial"/>
          <w:sz w:val="28"/>
        </w:rPr>
        <w:t xml:space="preserve"> (</w:t>
      </w:r>
      <w:r w:rsidR="00523E86" w:rsidRPr="00117F6B">
        <w:rPr>
          <w:rFonts w:ascii="Arial" w:hAnsi="Arial" w:cs="Arial"/>
          <w:b/>
          <w:sz w:val="28"/>
        </w:rPr>
        <w:t>E</w:t>
      </w:r>
      <w:r w:rsidR="00523E86" w:rsidRPr="00117F6B">
        <w:rPr>
          <w:rFonts w:ascii="Arial" w:hAnsi="Arial" w:cs="Arial"/>
          <w:sz w:val="28"/>
        </w:rPr>
        <w:t>nzyme-</w:t>
      </w:r>
      <w:proofErr w:type="spellStart"/>
      <w:r w:rsidR="00523E86" w:rsidRPr="00117F6B">
        <w:rPr>
          <w:rFonts w:ascii="Arial" w:hAnsi="Arial" w:cs="Arial"/>
          <w:b/>
          <w:sz w:val="28"/>
        </w:rPr>
        <w:t>L</w:t>
      </w:r>
      <w:r w:rsidR="00523E86" w:rsidRPr="00117F6B">
        <w:rPr>
          <w:rFonts w:ascii="Arial" w:hAnsi="Arial" w:cs="Arial"/>
          <w:sz w:val="28"/>
        </w:rPr>
        <w:t>inked</w:t>
      </w:r>
      <w:proofErr w:type="spellEnd"/>
      <w:r w:rsidR="00523E86" w:rsidRPr="00117F6B">
        <w:rPr>
          <w:rFonts w:ascii="Arial" w:hAnsi="Arial" w:cs="Arial"/>
          <w:sz w:val="28"/>
        </w:rPr>
        <w:t xml:space="preserve"> </w:t>
      </w:r>
      <w:proofErr w:type="spellStart"/>
      <w:r w:rsidR="00523E86" w:rsidRPr="00117F6B">
        <w:rPr>
          <w:rFonts w:ascii="Arial" w:hAnsi="Arial" w:cs="Arial"/>
          <w:b/>
          <w:sz w:val="28"/>
        </w:rPr>
        <w:t>I</w:t>
      </w:r>
      <w:r w:rsidR="00523E86" w:rsidRPr="00117F6B">
        <w:rPr>
          <w:rFonts w:ascii="Arial" w:hAnsi="Arial" w:cs="Arial"/>
          <w:sz w:val="28"/>
        </w:rPr>
        <w:t>mmuno</w:t>
      </w:r>
      <w:r w:rsidR="00523E86" w:rsidRPr="00117F6B">
        <w:rPr>
          <w:rFonts w:ascii="Arial" w:hAnsi="Arial" w:cs="Arial"/>
          <w:b/>
          <w:sz w:val="28"/>
        </w:rPr>
        <w:t>s</w:t>
      </w:r>
      <w:r w:rsidR="00523E86" w:rsidRPr="00117F6B">
        <w:rPr>
          <w:rFonts w:ascii="Arial" w:hAnsi="Arial" w:cs="Arial"/>
          <w:sz w:val="28"/>
        </w:rPr>
        <w:t>orbent</w:t>
      </w:r>
      <w:proofErr w:type="spellEnd"/>
      <w:r w:rsidR="00523E86" w:rsidRPr="00117F6B">
        <w:rPr>
          <w:rFonts w:ascii="Arial" w:hAnsi="Arial" w:cs="Arial"/>
          <w:sz w:val="28"/>
        </w:rPr>
        <w:t xml:space="preserve"> </w:t>
      </w:r>
      <w:r w:rsidR="00523E86" w:rsidRPr="00117F6B">
        <w:rPr>
          <w:rFonts w:ascii="Arial" w:hAnsi="Arial" w:cs="Arial"/>
          <w:b/>
          <w:sz w:val="28"/>
        </w:rPr>
        <w:t>A</w:t>
      </w:r>
      <w:r w:rsidR="00523E86" w:rsidRPr="00117F6B">
        <w:rPr>
          <w:rFonts w:ascii="Arial" w:hAnsi="Arial" w:cs="Arial"/>
          <w:sz w:val="28"/>
        </w:rPr>
        <w:t>ssay)</w:t>
      </w:r>
      <w:r w:rsidR="00786B18">
        <w:rPr>
          <w:rFonts w:ascii="Arial" w:hAnsi="Arial" w:cs="Arial"/>
          <w:sz w:val="28"/>
        </w:rPr>
        <w:t xml:space="preserve"> Testverfahren. Ab dem </w:t>
      </w:r>
      <w:r w:rsidR="00F04C89">
        <w:rPr>
          <w:rFonts w:ascii="Arial" w:hAnsi="Arial" w:cs="Arial"/>
          <w:sz w:val="28"/>
        </w:rPr>
        <w:t>31</w:t>
      </w:r>
      <w:r w:rsidRPr="00117F6B">
        <w:rPr>
          <w:rFonts w:ascii="Arial" w:hAnsi="Arial" w:cs="Arial"/>
          <w:sz w:val="28"/>
        </w:rPr>
        <w:t>.0</w:t>
      </w:r>
      <w:r w:rsidR="00786B18">
        <w:rPr>
          <w:rFonts w:ascii="Arial" w:hAnsi="Arial" w:cs="Arial"/>
          <w:sz w:val="28"/>
        </w:rPr>
        <w:t>7</w:t>
      </w:r>
      <w:r w:rsidRPr="00117F6B">
        <w:rPr>
          <w:rFonts w:ascii="Arial" w:hAnsi="Arial" w:cs="Arial"/>
          <w:sz w:val="28"/>
        </w:rPr>
        <w:t xml:space="preserve">.2025 erfolgt die Bestimmung nur noch im qualitativen ELISA. IIFT und ELISA weisen bei GBM eine vergleichbare Sensitivität und Spezifität auf. </w:t>
      </w:r>
    </w:p>
    <w:p w:rsidR="00D22F67" w:rsidRDefault="00D22F67" w:rsidP="00B91D5A">
      <w:pPr>
        <w:jc w:val="center"/>
        <w:rPr>
          <w:rFonts w:ascii="Arial" w:hAnsi="Arial" w:cs="Arial"/>
          <w:sz w:val="24"/>
        </w:rPr>
      </w:pPr>
    </w:p>
    <w:p w:rsidR="00523E86" w:rsidRDefault="00523E86" w:rsidP="00B91D5A">
      <w:pPr>
        <w:jc w:val="center"/>
        <w:rPr>
          <w:rFonts w:ascii="Arial" w:hAnsi="Arial" w:cs="Arial"/>
          <w:sz w:val="24"/>
        </w:rPr>
      </w:pPr>
    </w:p>
    <w:p w:rsidR="00523E86" w:rsidRDefault="00523E86" w:rsidP="00B91D5A">
      <w:pPr>
        <w:jc w:val="center"/>
        <w:rPr>
          <w:rFonts w:ascii="Arial" w:hAnsi="Arial" w:cs="Arial"/>
          <w:sz w:val="24"/>
        </w:rPr>
      </w:pPr>
    </w:p>
    <w:p w:rsidR="00596730" w:rsidRDefault="00596730" w:rsidP="00596730">
      <w:pPr>
        <w:jc w:val="center"/>
        <w:rPr>
          <w:rFonts w:ascii="Arial" w:hAnsi="Arial" w:cs="Arial"/>
        </w:rPr>
      </w:pPr>
    </w:p>
    <w:p w:rsidR="00596730" w:rsidRDefault="00596730" w:rsidP="00596730">
      <w:pPr>
        <w:jc w:val="center"/>
        <w:rPr>
          <w:rStyle w:val="Hyperlink"/>
          <w:rFonts w:asciiTheme="minorHAnsi" w:hAnsiTheme="minorHAnsi" w:cstheme="minorHAnsi"/>
          <w:color w:val="auto"/>
        </w:rPr>
      </w:pPr>
      <w:r w:rsidRPr="00596730">
        <w:rPr>
          <w:rFonts w:asciiTheme="minorHAnsi" w:hAnsiTheme="minorHAnsi" w:cstheme="minorHAnsi"/>
        </w:rPr>
        <w:t xml:space="preserve">Links: </w:t>
      </w:r>
      <w:hyperlink r:id="rId5" w:history="1">
        <w:r w:rsidRPr="00596730">
          <w:rPr>
            <w:rStyle w:val="Hyperlink"/>
            <w:rFonts w:asciiTheme="minorHAnsi" w:hAnsiTheme="minorHAnsi" w:cstheme="minorHAnsi"/>
            <w:color w:val="auto"/>
          </w:rPr>
          <w:t>Anti-GBM-Krankheit (</w:t>
        </w:r>
        <w:proofErr w:type="spellStart"/>
        <w:r w:rsidRPr="00596730">
          <w:rPr>
            <w:rStyle w:val="Hyperlink"/>
            <w:rFonts w:asciiTheme="minorHAnsi" w:hAnsiTheme="minorHAnsi" w:cstheme="minorHAnsi"/>
            <w:color w:val="auto"/>
          </w:rPr>
          <w:t>Goodpasture</w:t>
        </w:r>
        <w:proofErr w:type="spellEnd"/>
        <w:r w:rsidRPr="00596730">
          <w:rPr>
            <w:rStyle w:val="Hyperlink"/>
            <w:rFonts w:asciiTheme="minorHAnsi" w:hAnsiTheme="minorHAnsi" w:cstheme="minorHAnsi"/>
            <w:color w:val="auto"/>
          </w:rPr>
          <w:t>-Syndrom) | EUROIMMUN</w:t>
        </w:r>
      </w:hyperlink>
    </w:p>
    <w:p w:rsidR="00523E86" w:rsidRPr="00523E86" w:rsidRDefault="00E86672" w:rsidP="00596730">
      <w:pPr>
        <w:jc w:val="center"/>
        <w:rPr>
          <w:rFonts w:asciiTheme="minorHAnsi" w:hAnsiTheme="minorHAnsi" w:cstheme="minorHAnsi"/>
        </w:rPr>
      </w:pPr>
      <w:hyperlink r:id="rId6" w:history="1">
        <w:proofErr w:type="spellStart"/>
        <w:r w:rsidR="00523E86" w:rsidRPr="00523E86">
          <w:rPr>
            <w:rStyle w:val="Hyperlink"/>
            <w:rFonts w:asciiTheme="minorHAnsi" w:hAnsiTheme="minorHAnsi" w:cstheme="minorHAnsi"/>
            <w:color w:val="auto"/>
          </w:rPr>
          <w:t>Orphanet</w:t>
        </w:r>
        <w:proofErr w:type="spellEnd"/>
        <w:r w:rsidR="00523E86" w:rsidRPr="00523E86">
          <w:rPr>
            <w:rStyle w:val="Hyperlink"/>
            <w:rFonts w:asciiTheme="minorHAnsi" w:hAnsiTheme="minorHAnsi" w:cstheme="minorHAnsi"/>
            <w:color w:val="auto"/>
          </w:rPr>
          <w:t xml:space="preserve">: Antikörper vermittelte Krankheit der </w:t>
        </w:r>
        <w:proofErr w:type="spellStart"/>
        <w:r w:rsidR="00523E86" w:rsidRPr="00523E86">
          <w:rPr>
            <w:rStyle w:val="Hyperlink"/>
            <w:rFonts w:asciiTheme="minorHAnsi" w:hAnsiTheme="minorHAnsi" w:cstheme="minorHAnsi"/>
            <w:color w:val="auto"/>
          </w:rPr>
          <w:t>glomerulären</w:t>
        </w:r>
        <w:proofErr w:type="spellEnd"/>
        <w:r w:rsidR="00523E86" w:rsidRPr="00523E86">
          <w:rPr>
            <w:rStyle w:val="Hyperlink"/>
            <w:rFonts w:asciiTheme="minorHAnsi" w:hAnsiTheme="minorHAnsi" w:cstheme="minorHAnsi"/>
            <w:color w:val="auto"/>
          </w:rPr>
          <w:t xml:space="preserve"> Basalmembran</w:t>
        </w:r>
      </w:hyperlink>
    </w:p>
    <w:p w:rsidR="00FC78AE" w:rsidRPr="00523E86" w:rsidRDefault="00FC78AE" w:rsidP="00E71943">
      <w:pPr>
        <w:pStyle w:val="Listenabsatz"/>
        <w:rPr>
          <w:rFonts w:asciiTheme="minorHAnsi" w:hAnsiTheme="minorHAnsi" w:cstheme="minorHAnsi"/>
          <w:b/>
          <w:sz w:val="28"/>
        </w:rPr>
      </w:pPr>
    </w:p>
    <w:sectPr w:rsidR="00FC78AE" w:rsidRPr="00523E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039"/>
    <w:multiLevelType w:val="hybridMultilevel"/>
    <w:tmpl w:val="5BFA1FEA"/>
    <w:lvl w:ilvl="0" w:tplc="EA3A6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560A"/>
    <w:multiLevelType w:val="hybridMultilevel"/>
    <w:tmpl w:val="4CB081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7DA"/>
    <w:multiLevelType w:val="hybridMultilevel"/>
    <w:tmpl w:val="ACFA6B00"/>
    <w:lvl w:ilvl="0" w:tplc="EF0E6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357A"/>
    <w:multiLevelType w:val="hybridMultilevel"/>
    <w:tmpl w:val="88D48D6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E330F6"/>
    <w:multiLevelType w:val="hybridMultilevel"/>
    <w:tmpl w:val="32F691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733E8"/>
    <w:multiLevelType w:val="hybridMultilevel"/>
    <w:tmpl w:val="F8B24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9F"/>
    <w:rsid w:val="00007AAE"/>
    <w:rsid w:val="00011E7D"/>
    <w:rsid w:val="000820A9"/>
    <w:rsid w:val="000D7B4E"/>
    <w:rsid w:val="000E66BF"/>
    <w:rsid w:val="001026E5"/>
    <w:rsid w:val="00117F6B"/>
    <w:rsid w:val="00132CD6"/>
    <w:rsid w:val="00140EA7"/>
    <w:rsid w:val="00151E24"/>
    <w:rsid w:val="001836C7"/>
    <w:rsid w:val="001F05B5"/>
    <w:rsid w:val="00272C43"/>
    <w:rsid w:val="0031170E"/>
    <w:rsid w:val="00357644"/>
    <w:rsid w:val="003F5696"/>
    <w:rsid w:val="004733EC"/>
    <w:rsid w:val="004F5C87"/>
    <w:rsid w:val="00523E86"/>
    <w:rsid w:val="00596730"/>
    <w:rsid w:val="005B3C78"/>
    <w:rsid w:val="00660E8B"/>
    <w:rsid w:val="00743509"/>
    <w:rsid w:val="0075719F"/>
    <w:rsid w:val="00786B18"/>
    <w:rsid w:val="008B75E7"/>
    <w:rsid w:val="009176B5"/>
    <w:rsid w:val="0093595D"/>
    <w:rsid w:val="009C6D8B"/>
    <w:rsid w:val="00AE7D8D"/>
    <w:rsid w:val="00B421ED"/>
    <w:rsid w:val="00B91D5A"/>
    <w:rsid w:val="00CB2E26"/>
    <w:rsid w:val="00D22F67"/>
    <w:rsid w:val="00D25E4C"/>
    <w:rsid w:val="00DB39DD"/>
    <w:rsid w:val="00DF32E3"/>
    <w:rsid w:val="00E67B18"/>
    <w:rsid w:val="00E71943"/>
    <w:rsid w:val="00E86672"/>
    <w:rsid w:val="00F04C89"/>
    <w:rsid w:val="00F06A47"/>
    <w:rsid w:val="00F4320D"/>
    <w:rsid w:val="00F64188"/>
    <w:rsid w:val="00FC78AE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669F-DFBF-48E1-82CA-6AA466A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3595D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3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3595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93595D"/>
    <w:pPr>
      <w:jc w:val="center"/>
    </w:pPr>
    <w:rPr>
      <w:sz w:val="28"/>
    </w:rPr>
  </w:style>
  <w:style w:type="character" w:customStyle="1" w:styleId="TitelZchn">
    <w:name w:val="Titel Zchn"/>
    <w:basedOn w:val="Absatz-Standardschriftart"/>
    <w:link w:val="Titel"/>
    <w:rsid w:val="0093595D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421ED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3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F36C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D25E4C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D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4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pha.net/de/disease/detail/375" TargetMode="External"/><Relationship Id="rId5" Type="http://schemas.openxmlformats.org/officeDocument/2006/relationships/hyperlink" Target="https://www.euroimmun.ch/produkte/autoimmundiagnostik/id/nephrologie/goodpasture-syndr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AHP License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Eckart, Katrin</dc:creator>
  <cp:keywords/>
  <dc:description/>
  <cp:lastModifiedBy>Eckart, Katrin</cp:lastModifiedBy>
  <cp:revision>2</cp:revision>
  <dcterms:created xsi:type="dcterms:W3CDTF">2025-07-14T08:02:00Z</dcterms:created>
  <dcterms:modified xsi:type="dcterms:W3CDTF">2025-07-14T08:02:00Z</dcterms:modified>
</cp:coreProperties>
</file>